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p>
    <w:p>
      <w:pPr>
        <w:pStyle w:val="Normal.0"/>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r>
        <w:rPr>
          <w:outline w:val="0"/>
          <w:color w:val="000000"/>
          <w:u w:color="000000"/>
          <w:rtl w:val="0"/>
          <w:lang w:val="en-US"/>
          <w14:textFill>
            <w14:solidFill>
              <w14:srgbClr w14:val="000000"/>
            </w14:solidFill>
          </w14:textFill>
        </w:rPr>
        <w:t>Enabling Access</w:t>
      </w: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r>
        <w:rPr>
          <w:outline w:val="0"/>
          <w:color w:val="000000"/>
          <w:u w:color="000000"/>
          <w:rtl w:val="0"/>
          <w:lang w:val="en-US"/>
          <w14:textFill>
            <w14:solidFill>
              <w14:srgbClr w14:val="000000"/>
            </w14:solidFill>
          </w14:textFill>
        </w:rPr>
        <w:t>a background paper</w:t>
      </w:r>
    </w:p>
    <w:p>
      <w:pPr>
        <w:pStyle w:val="Normal.0"/>
        <w:jc w:val="center"/>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prepared for the Internet Governance</w:t>
      </w:r>
      <w:r>
        <w:rPr>
          <w:rtl w:val="0"/>
          <w:lang w:val="en-US"/>
        </w:rPr>
        <w:t xml:space="preserve"> Forum panel discussion</w:t>
      </w: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r>
        <w:rPr>
          <w:outline w:val="0"/>
          <w:color w:val="000000"/>
          <w:u w:color="000000"/>
          <w:rtl w:val="0"/>
          <w:lang w:val="en-US"/>
          <w14:textFill>
            <w14:solidFill>
              <w14:srgbClr w14:val="000000"/>
            </w14:solidFill>
          </w14:textFill>
        </w:rPr>
        <w:t>Access: Reaching the next billion(s)</w:t>
      </w: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rPr>
          <w:outline w:val="0"/>
          <w:color w:val="000000"/>
          <w:u w:color="000000"/>
          <w:lang w:val="en-US"/>
          <w14:textFill>
            <w14:solidFill>
              <w14:srgbClr w14:val="000000"/>
            </w14:solidFill>
          </w14:textFill>
        </w:rPr>
      </w:pPr>
    </w:p>
    <w:p>
      <w:pPr>
        <w:pStyle w:val="Normal.0"/>
        <w:jc w:val="center"/>
      </w:pPr>
      <w:r>
        <w:rPr>
          <w:rtl w:val="0"/>
          <w:lang w:val="en-US"/>
        </w:rPr>
        <w:t>3 December, 2008</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jc w:val="center"/>
        <w:rPr>
          <w:b w:val="1"/>
          <w:bCs w:val="1"/>
          <w:sz w:val="28"/>
          <w:szCs w:val="28"/>
        </w:rPr>
      </w:pPr>
      <w:r>
        <w:rPr>
          <w:b w:val="1"/>
          <w:bCs w:val="1"/>
          <w:sz w:val="28"/>
          <w:szCs w:val="28"/>
          <w:rtl w:val="0"/>
          <w:lang w:val="en-US"/>
        </w:rPr>
        <w:t>Executive Summary</w:t>
      </w:r>
    </w:p>
    <w:p>
      <w:pPr>
        <w:pStyle w:val="Normal.0"/>
        <w:jc w:val="center"/>
      </w:pPr>
    </w:p>
    <w:p>
      <w:pPr>
        <w:pStyle w:val="Normal.0"/>
        <w:jc w:val="center"/>
      </w:pPr>
    </w:p>
    <w:p>
      <w:pPr>
        <w:pStyle w:val="Normal.0"/>
        <w:spacing w:line="480" w:lineRule="auto"/>
        <w:jc w:val="center"/>
        <w:rPr>
          <w:lang w:val="en-US"/>
        </w:rPr>
      </w:pPr>
      <w:r>
        <w:rPr>
          <w:rFonts w:ascii="Helvetica" w:hAnsi="Helvetica" w:hint="default"/>
          <w:rtl w:val="0"/>
          <w:lang w:val="en-US"/>
        </w:rPr>
        <w:t> </w:t>
      </w:r>
    </w:p>
    <w:p>
      <w:pPr>
        <w:pStyle w:val="Normal.0"/>
        <w:spacing w:line="480" w:lineRule="auto"/>
      </w:pPr>
      <w:r>
        <w:rPr>
          <w:rtl w:val="0"/>
          <w:lang w:val="en-US"/>
        </w:rPr>
        <w:t xml:space="preserve">This paper has been produced for the panel discussion Access: Reaching the next billion(s) at the third Internet Governance Forum in Hyderabad, India. It is divided into three main sections </w:t>
      </w:r>
      <w:r>
        <w:rPr>
          <w:rtl w:val="0"/>
          <w:lang w:val="en-US"/>
        </w:rPr>
        <w:t xml:space="preserve">– </w:t>
      </w:r>
      <w:r>
        <w:rPr>
          <w:rtl w:val="0"/>
          <w:lang w:val="en-US"/>
        </w:rPr>
        <w:t xml:space="preserve">Demand, Supply and Development </w:t>
      </w:r>
      <w:r>
        <w:rPr>
          <w:rtl w:val="0"/>
          <w:lang w:val="en-US"/>
        </w:rPr>
        <w:t xml:space="preserve">– </w:t>
      </w:r>
      <w:r>
        <w:rPr>
          <w:rtl w:val="0"/>
          <w:lang w:val="en-US"/>
        </w:rPr>
        <w:t xml:space="preserve">but each of these sections contain certain topics or themes that reappear from one section to the next; this is not an oversight but is due instead to the fact that each of these themes reappears in most if not all discussions of access. </w:t>
      </w:r>
    </w:p>
    <w:p>
      <w:pPr>
        <w:pStyle w:val="Normal.0"/>
        <w:spacing w:line="480" w:lineRule="auto"/>
      </w:pPr>
    </w:p>
    <w:p>
      <w:pPr>
        <w:pStyle w:val="Normal.0"/>
        <w:spacing w:line="480" w:lineRule="auto"/>
      </w:pPr>
      <w:r>
        <w:rPr>
          <w:rtl w:val="0"/>
          <w:lang w:val="en-US"/>
        </w:rPr>
        <w:t xml:space="preserve">One such theme is affordability, sometimes expressed as </w:t>
      </w:r>
      <w:r>
        <w:rPr>
          <w:i w:val="1"/>
          <w:iCs w:val="1"/>
          <w:rtl w:val="0"/>
          <w:lang w:val="en-US"/>
        </w:rPr>
        <w:t>Total Cost of Ownership</w:t>
      </w:r>
      <w:r>
        <w:rPr>
          <w:rtl w:val="0"/>
          <w:lang w:val="en-US"/>
        </w:rPr>
        <w:t xml:space="preserve"> (TCO). Most of the two billion people yet to benefit from connectivity live in rural areas and exist at the so-called bottom of the pyramid (BOP) on less than 5 USD per month. As such the TCO (including the cost of purchasing/leasing hardware, subscription fees, taxes, maintenance and usage costs) of ICT needs to be factored into all equations at all stages and by all stakeholders in order to ensure that connectivity </w:t>
      </w:r>
      <w:r>
        <w:rPr>
          <w:rtl w:val="0"/>
          <w:lang w:val="en-US"/>
        </w:rPr>
        <w:t xml:space="preserve">– </w:t>
      </w:r>
      <w:r>
        <w:rPr>
          <w:rtl w:val="0"/>
          <w:lang w:val="en-US"/>
        </w:rPr>
        <w:t xml:space="preserve">when it is made available </w:t>
      </w:r>
      <w:r>
        <w:rPr>
          <w:rtl w:val="0"/>
          <w:lang w:val="en-US"/>
        </w:rPr>
        <w:t xml:space="preserve">– </w:t>
      </w:r>
      <w:r>
        <w:rPr>
          <w:rtl w:val="0"/>
          <w:lang w:val="en-US"/>
        </w:rPr>
        <w:t>is also affordable to people with literally pennies to spend.</w:t>
      </w:r>
    </w:p>
    <w:p>
      <w:pPr>
        <w:pStyle w:val="Normal.0"/>
        <w:spacing w:line="480" w:lineRule="auto"/>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Pr>
          <w:rtl w:val="0"/>
          <w:lang w:val="en-US"/>
        </w:rPr>
        <w:t xml:space="preserve">A second theme that emerges from section to section is the importance of </w:t>
      </w:r>
      <w:r>
        <w:rPr>
          <w:i w:val="1"/>
          <w:iCs w:val="1"/>
          <w:rtl w:val="0"/>
          <w:lang w:val="en-US"/>
        </w:rPr>
        <w:t>collaboration</w:t>
      </w:r>
      <w:r>
        <w:rPr>
          <w:rtl w:val="0"/>
          <w:lang w:val="en-US"/>
        </w:rPr>
        <w:t xml:space="preserve"> between all key stakeholders to help ensure that connectivity is brought about as quickly and efficiently as possible. The theme of collaboration will come as no surprise to people familiar with the origins of the Internet Governance Forum. According to the Tunis Agenda, which gave shape to the IGF, its primary responsibilities are to:</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09" w:firstLine="0"/>
        <w:rPr>
          <w:sz w:val="20"/>
          <w:szCs w:val="20"/>
          <w:lang w:val="en-US"/>
        </w:rPr>
      </w:pPr>
      <w:r>
        <w:rPr>
          <w:b w:val="1"/>
          <w:bCs w:val="1"/>
          <w:sz w:val="20"/>
          <w:szCs w:val="20"/>
          <w:rtl w:val="0"/>
          <w:lang w:val="en-US"/>
        </w:rPr>
        <w:t>a)</w:t>
      </w:r>
      <w:r>
        <w:rPr>
          <w:rFonts w:ascii="Arial" w:hAnsi="Arial"/>
          <w:b w:val="1"/>
          <w:bCs w:val="1"/>
          <w:sz w:val="20"/>
          <w:szCs w:val="20"/>
          <w:rtl w:val="0"/>
          <w:lang w:val="en-US"/>
        </w:rPr>
        <w:t xml:space="preserve"> </w:t>
      </w:r>
      <w:r>
        <w:rPr>
          <w:sz w:val="20"/>
          <w:szCs w:val="20"/>
          <w:rtl w:val="0"/>
          <w:lang w:val="en-US"/>
        </w:rPr>
        <w:t xml:space="preserve">Discuss public policy issues related to key elements of Internet Governance in order to foster the sustainability, robustness, security, stability and development of the Internet;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09" w:firstLine="0"/>
        <w:rPr>
          <w:rFonts w:ascii="Helvetica" w:cs="Helvetica" w:hAnsi="Helvetica" w:eastAsia="Helvetica"/>
          <w:sz w:val="20"/>
          <w:szCs w:val="20"/>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09" w:firstLine="0"/>
        <w:rPr>
          <w:sz w:val="20"/>
          <w:szCs w:val="20"/>
          <w:lang w:val="en-US"/>
        </w:rPr>
      </w:pPr>
      <w:r>
        <w:rPr>
          <w:b w:val="1"/>
          <w:bCs w:val="1"/>
          <w:sz w:val="20"/>
          <w:szCs w:val="20"/>
          <w:rtl w:val="0"/>
          <w:lang w:val="en-US"/>
        </w:rPr>
        <w:t>b)</w:t>
      </w:r>
      <w:r>
        <w:rPr>
          <w:rFonts w:ascii="Arial" w:hAnsi="Arial"/>
          <w:b w:val="1"/>
          <w:bCs w:val="1"/>
          <w:sz w:val="20"/>
          <w:szCs w:val="20"/>
          <w:rtl w:val="0"/>
          <w:lang w:val="en-US"/>
        </w:rPr>
        <w:t xml:space="preserve"> </w:t>
      </w:r>
      <w:r>
        <w:rPr>
          <w:sz w:val="20"/>
          <w:szCs w:val="20"/>
          <w:rtl w:val="0"/>
          <w:lang w:val="en-US"/>
        </w:rPr>
        <w:t xml:space="preserve">Facilitate discourse between bodies dealing with different cross-cutting international public policies regarding the Internet and discuss issues that do not fall within the scope of any existing body;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09" w:firstLine="0"/>
        <w:rPr>
          <w:rFonts w:ascii="Helvetica" w:cs="Helvetica" w:hAnsi="Helvetica" w:eastAsia="Helvetica"/>
          <w:sz w:val="20"/>
          <w:szCs w:val="20"/>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09" w:firstLine="0"/>
        <w:rPr>
          <w:sz w:val="20"/>
          <w:szCs w:val="20"/>
          <w:lang w:val="en-US"/>
        </w:rPr>
      </w:pPr>
      <w:r>
        <w:rPr>
          <w:b w:val="1"/>
          <w:bCs w:val="1"/>
          <w:sz w:val="20"/>
          <w:szCs w:val="20"/>
          <w:rtl w:val="0"/>
          <w:lang w:val="en-US"/>
        </w:rPr>
        <w:t>c)</w:t>
      </w:r>
      <w:r>
        <w:rPr>
          <w:rFonts w:ascii="Arial" w:hAnsi="Arial"/>
          <w:b w:val="1"/>
          <w:bCs w:val="1"/>
          <w:sz w:val="20"/>
          <w:szCs w:val="20"/>
          <w:rtl w:val="0"/>
          <w:lang w:val="en-US"/>
        </w:rPr>
        <w:t xml:space="preserve"> </w:t>
      </w:r>
      <w:r>
        <w:rPr>
          <w:sz w:val="20"/>
          <w:szCs w:val="20"/>
          <w:rtl w:val="0"/>
          <w:lang w:val="en-US"/>
        </w:rPr>
        <w:t xml:space="preserve">Interface with appropriate inter-governmental organizations and other institutions on matters under their purview;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09" w:firstLine="0"/>
        <w:rPr>
          <w:rFonts w:ascii="Helvetica" w:cs="Helvetica" w:hAnsi="Helvetica" w:eastAsia="Helvetica"/>
          <w:sz w:val="20"/>
          <w:szCs w:val="20"/>
          <w:lang w:val="en-US"/>
        </w:rPr>
      </w:pPr>
      <w:r>
        <w:rPr>
          <w:sz w:val="20"/>
          <w:szCs w:val="20"/>
          <w:rtl w:val="0"/>
          <w:lang w:val="en-US"/>
        </w:rPr>
        <w:t xml:space="preserve">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ind w:left="709" w:firstLine="0"/>
        <w:rPr>
          <w:rFonts w:ascii="Helvetica" w:cs="Helvetica" w:hAnsi="Helvetica" w:eastAsia="Helvetica"/>
          <w:outline w:val="0"/>
          <w:color w:val="000000"/>
          <w:sz w:val="20"/>
          <w:szCs w:val="20"/>
          <w:u w:color="000000"/>
          <w:lang w:val="en-US"/>
          <w14:textFill>
            <w14:solidFill>
              <w14:srgbClr w14:val="000000"/>
            </w14:solidFill>
          </w14:textFill>
        </w:rPr>
      </w:pPr>
      <w:r>
        <w:rPr>
          <w:b w:val="1"/>
          <w:bCs w:val="1"/>
          <w:sz w:val="20"/>
          <w:szCs w:val="20"/>
          <w:rtl w:val="0"/>
          <w:lang w:val="en-US"/>
        </w:rPr>
        <w:t>d)</w:t>
      </w:r>
      <w:r>
        <w:rPr>
          <w:rFonts w:ascii="Arial" w:hAnsi="Arial"/>
          <w:b w:val="1"/>
          <w:bCs w:val="1"/>
          <w:sz w:val="20"/>
          <w:szCs w:val="20"/>
          <w:rtl w:val="0"/>
          <w:lang w:val="en-US"/>
        </w:rPr>
        <w:t xml:space="preserve"> </w:t>
      </w:r>
      <w:r>
        <w:rPr>
          <w:sz w:val="20"/>
          <w:szCs w:val="20"/>
          <w:rtl w:val="0"/>
          <w:lang w:val="en-US"/>
        </w:rPr>
        <w:t>Facilitate the exchange of information and best practices, and in this regard make full use of the expertise of the academic, scientific and technical communities.</w:t>
      </w:r>
      <w:r>
        <w:rPr>
          <w:sz w:val="20"/>
          <w:szCs w:val="20"/>
          <w:vertAlign w:val="superscript"/>
          <w:lang w:val="en-US"/>
        </w:rPr>
        <w:footnoteReference w:id="1"/>
      </w:r>
    </w:p>
    <w:p>
      <w:pPr>
        <w:pStyle w:val="Normal.0"/>
        <w:spacing w:line="480" w:lineRule="auto"/>
        <w:rPr>
          <w:b w:val="1"/>
          <w:bCs w:val="1"/>
        </w:rPr>
      </w:pPr>
    </w:p>
    <w:p>
      <w:pPr>
        <w:pStyle w:val="Normal.0"/>
        <w:spacing w:line="480" w:lineRule="auto"/>
        <w:rPr>
          <w:b w:val="1"/>
          <w:bCs w:val="1"/>
        </w:rPr>
      </w:pPr>
    </w:p>
    <w:p>
      <w:pPr>
        <w:pStyle w:val="Normal.0"/>
        <w:spacing w:line="480" w:lineRule="auto"/>
        <w:rPr>
          <w:outline w:val="0"/>
          <w:color w:val="000000"/>
          <w:u w:color="000000"/>
          <w14:textFill>
            <w14:solidFill>
              <w14:srgbClr w14:val="000000"/>
            </w14:solidFill>
          </w14:textFill>
        </w:rPr>
      </w:pPr>
      <w:r>
        <w:rPr>
          <w:rtl w:val="0"/>
          <w:lang w:val="en-US"/>
        </w:rPr>
        <w:t xml:space="preserve">The third theme might best be described as </w:t>
      </w:r>
      <w:r>
        <w:rPr>
          <w:i w:val="1"/>
          <w:iCs w:val="1"/>
          <w:rtl w:val="0"/>
          <w:lang w:val="en-US"/>
        </w:rPr>
        <w:t>localizing services</w:t>
      </w:r>
      <w:r>
        <w:rPr>
          <w:rtl w:val="0"/>
          <w:lang w:val="en-US"/>
        </w:rPr>
        <w:t xml:space="preserve">. It is understandable but more often than not unsuccessful when stakeholders bring preconceptions to new markets; attempting to apply urban models in rural areas at first seems to make sense but </w:t>
      </w:r>
      <w:r>
        <w:rPr>
          <w:outline w:val="0"/>
          <w:color w:val="000000"/>
          <w:u w:color="000000"/>
          <w:rtl w:val="0"/>
          <w:lang w:val="en-US"/>
          <w14:textFill>
            <w14:solidFill>
              <w14:srgbClr w14:val="000000"/>
            </w14:solidFill>
          </w14:textFill>
        </w:rPr>
        <w:t>experience has taught many of us that business models and regulatory policies that work in established, urban markets don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t readily translate in the emerging, rural markets that are home to the vast amount of people who have yet to connect to the Internet. </w:t>
      </w:r>
      <w:r>
        <w:rPr>
          <w:outline w:val="0"/>
          <w:color w:val="000000"/>
          <w:u w:color="000000"/>
          <w:rtl w:val="0"/>
          <w:lang w:val="en-US"/>
          <w14:textFill>
            <w14:solidFill>
              <w14:srgbClr w14:val="000000"/>
            </w14:solidFill>
          </w14:textFill>
        </w:rPr>
        <w:t>Regulatory policies need to take into account the specific environment, such as whether competition exists or not, and should strive towards enhancing competition in the market in the long run, as experience has also taught us that competition brings prices down, increases consumer choice, and improves social and economic welfare of the country.</w:t>
      </w:r>
    </w:p>
    <w:p>
      <w:pPr>
        <w:pStyle w:val="Normal.0"/>
        <w:spacing w:line="480" w:lineRule="auto"/>
      </w:pPr>
    </w:p>
    <w:p>
      <w:pPr>
        <w:pStyle w:val="Normal.0"/>
        <w:spacing w:line="480" w:lineRule="auto"/>
      </w:pPr>
      <w:r>
        <w:rPr>
          <w:rtl w:val="0"/>
          <w:lang w:val="en-US"/>
        </w:rPr>
        <w:t xml:space="preserve">Finally, while not </w:t>
      </w:r>
      <w:r>
        <w:rPr>
          <w:rtl w:val="0"/>
          <w:lang w:val="en-US"/>
        </w:rPr>
        <w:t>“</w:t>
      </w:r>
      <w:r>
        <w:rPr>
          <w:rtl w:val="0"/>
          <w:lang w:val="en-US"/>
        </w:rPr>
        <w:t>themes</w:t>
      </w:r>
      <w:r>
        <w:rPr>
          <w:rtl w:val="0"/>
          <w:lang w:val="en-US"/>
        </w:rPr>
        <w:t xml:space="preserve">” </w:t>
      </w:r>
      <w:r>
        <w:rPr>
          <w:rtl w:val="0"/>
          <w:lang w:val="en-US"/>
        </w:rPr>
        <w:t xml:space="preserve">as such </w:t>
      </w:r>
      <w:r>
        <w:rPr>
          <w:i w:val="1"/>
          <w:iCs w:val="1"/>
          <w:rtl w:val="0"/>
          <w:lang w:val="en-US"/>
        </w:rPr>
        <w:t>clarity</w:t>
      </w:r>
      <w:r>
        <w:rPr>
          <w:rtl w:val="0"/>
          <w:lang w:val="en-US"/>
        </w:rPr>
        <w:t xml:space="preserve"> and </w:t>
      </w:r>
      <w:r>
        <w:rPr>
          <w:i w:val="1"/>
          <w:iCs w:val="1"/>
          <w:rtl w:val="0"/>
          <w:lang w:val="en-US"/>
        </w:rPr>
        <w:t>simplicity</w:t>
      </w:r>
      <w:r>
        <w:rPr>
          <w:rtl w:val="0"/>
          <w:lang w:val="en-US"/>
        </w:rPr>
        <w:t xml:space="preserve"> are also most important whenever we discuss the challenges associated with improving Internet access. It</w:t>
      </w:r>
      <w:r>
        <w:rPr>
          <w:rtl w:val="0"/>
          <w:lang w:val="en-US"/>
        </w:rPr>
        <w:t>’</w:t>
      </w:r>
      <w:r>
        <w:rPr>
          <w:rtl w:val="0"/>
          <w:lang w:val="en-US"/>
        </w:rPr>
        <w:t>s easy to feel overwhelmed by this admittedly huge topic. But giving in to the complexity of it all merely postpones instead of fosters the process of rural connectivity which will change the lives of literally billions of people in coming years. Simplifying the issues does not diminish their importance; indeed it hopefully shows them in their true light and helps all stakeholders, together, solve these very real problems. Which is, echoing the words of the Tunis Agenda, what the IGF was put here to do.</w:t>
      </w: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spacing w:line="480" w:lineRule="auto"/>
      </w:pPr>
    </w:p>
    <w:p>
      <w:pPr>
        <w:pStyle w:val="Normal.0"/>
        <w:jc w:val="center"/>
        <w:rPr>
          <w:b w:val="1"/>
          <w:bCs w:val="1"/>
          <w:sz w:val="28"/>
          <w:szCs w:val="28"/>
        </w:rPr>
      </w:pPr>
      <w:r>
        <w:rPr>
          <w:b w:val="1"/>
          <w:bCs w:val="1"/>
          <w:sz w:val="28"/>
          <w:szCs w:val="28"/>
          <w:rtl w:val="0"/>
          <w:lang w:val="en-US"/>
        </w:rPr>
        <w:t>Section One: Demand</w:t>
      </w:r>
    </w:p>
    <w:p>
      <w:pPr>
        <w:pStyle w:val="Normal.0"/>
        <w:jc w:val="center"/>
        <w:rPr>
          <w:b w:val="1"/>
          <w:bCs w:val="1"/>
        </w:rPr>
      </w:pPr>
    </w:p>
    <w:p>
      <w:pPr>
        <w:pStyle w:val="Normal.0"/>
        <w:jc w:val="center"/>
        <w:rPr>
          <w:b w:val="1"/>
          <w:bCs w:val="1"/>
        </w:rPr>
      </w:pPr>
    </w:p>
    <w:p>
      <w:pPr>
        <w:pStyle w:val="Normal.0"/>
        <w:jc w:val="center"/>
        <w:rPr>
          <w:b w:val="1"/>
          <w:bCs w:val="1"/>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ascii="Helvetica" w:cs="Helvetica" w:hAnsi="Helvetica" w:eastAsia="Helvetica"/>
          <w:outline w:val="0"/>
          <w:color w:val="000000"/>
          <w:u w:color="000000"/>
          <w:lang w:val="en-US"/>
          <w14:textFill>
            <w14:solidFill>
              <w14:srgbClr w14:val="000000"/>
            </w14:solidFill>
          </w14:textFill>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Fonts w:ascii="Helvetica" w:cs="Helvetica" w:hAnsi="Helvetica" w:eastAsia="Helvetica"/>
          <w:outline w:val="0"/>
          <w:color w:val="000000"/>
          <w:u w:color="000000"/>
          <w:lang w:val="en-US"/>
          <w14:textFill>
            <w14:solidFill>
              <w14:srgbClr w14:val="000000"/>
            </w14:solidFill>
          </w14:textFill>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According to a 2008 WSIS stocktaking report, </w:t>
      </w:r>
      <w:r>
        <w:rPr>
          <w:rtl w:val="0"/>
          <w:lang w:val="en-US"/>
        </w:rPr>
        <w:t>“</w:t>
      </w:r>
      <w:r>
        <w:rPr>
          <w:rtl w:val="0"/>
          <w:lang w:val="en-US"/>
        </w:rPr>
        <w:t>By the end of 2007, 69% of the world</w:t>
      </w:r>
      <w:r>
        <w:rPr>
          <w:rtl w:val="0"/>
          <w:lang w:val="en-US"/>
        </w:rPr>
        <w:t>’</w:t>
      </w:r>
      <w:r>
        <w:rPr>
          <w:rtl w:val="0"/>
          <w:lang w:val="en-US"/>
        </w:rPr>
        <w:t xml:space="preserve">s mobile subscribers were from developing countries </w:t>
      </w:r>
      <w:r>
        <w:rPr>
          <w:rtl w:val="0"/>
          <w:lang w:val="en-US"/>
        </w:rPr>
        <w:t xml:space="preserve">– </w:t>
      </w:r>
      <w:r>
        <w:rPr>
          <w:rtl w:val="0"/>
          <w:lang w:val="en-US"/>
        </w:rPr>
        <w:t>a positive trend that suggests that developing countries are catching up, since in 2005 developing countries represented only 63% of all mobile subscribers.</w:t>
      </w:r>
      <w:r>
        <w:rPr>
          <w:rtl w:val="0"/>
          <w:lang w:val="en-US"/>
        </w:rPr>
        <w:t>”</w:t>
      </w:r>
      <w:r>
        <w:rPr>
          <w:vertAlign w:val="superscript"/>
          <w:lang w:val="en-US"/>
        </w:rPr>
        <w:footnoteReference w:id="2"/>
      </w:r>
      <w:r>
        <w:rPr>
          <w:rtl w:val="0"/>
          <w:lang w:val="en-US"/>
        </w:rPr>
        <w:t xml:space="preserve">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outline w:val="0"/>
          <w:color w:val="ff0000"/>
          <w:u w:color="ff0000"/>
          <w:lang w:val="en-US"/>
          <w14:textFill>
            <w14:solidFill>
              <w14:srgbClr w14:val="FF0000"/>
            </w14:solidFill>
          </w14:textFill>
        </w:rPr>
      </w:pPr>
      <w:r>
        <w:rPr>
          <w:rtl w:val="0"/>
          <w:lang w:val="en-US"/>
        </w:rPr>
        <w:t xml:space="preserve">Good news, to be sure. But a few paragraphs later the report goes on to point out a much more worrying trend, having to do with broadband access:  </w:t>
      </w:r>
      <w:r>
        <w:rPr>
          <w:rtl w:val="0"/>
          <w:lang w:val="en-US"/>
        </w:rPr>
        <w:t>“</w:t>
      </w:r>
      <w:r>
        <w:rPr>
          <w:rtl w:val="0"/>
          <w:lang w:val="en-US"/>
        </w:rPr>
        <w:t>Low-income countries, where broadband access remains very low, risk falling behind in an area that is particularly important in delivering innovative applications and services.</w:t>
      </w:r>
      <w:r>
        <w:rPr>
          <w:rtl w:val="0"/>
          <w:lang w:val="en-US"/>
        </w:rPr>
        <w:t>”</w:t>
      </w:r>
      <w:r>
        <w:rPr>
          <w:vertAlign w:val="superscript"/>
          <w:lang w:val="en-US"/>
        </w:rPr>
        <w:footnoteReference w:id="3"/>
      </w:r>
      <w:r>
        <w:rPr>
          <w:rtl w:val="0"/>
          <w:lang w:val="en-US"/>
        </w:rPr>
        <w:t xml:space="preserve">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Demand for mobile telephony has indeed improved in developing countries, thanks in part to innovative pricing models and innovative consumers themselves </w:t>
      </w:r>
      <w:r>
        <w:rPr>
          <w:rtl w:val="0"/>
          <w:lang w:val="en-US"/>
        </w:rPr>
        <w:t xml:space="preserve">– </w:t>
      </w:r>
      <w:r>
        <w:rPr>
          <w:rtl w:val="0"/>
          <w:lang w:val="en-US"/>
        </w:rPr>
        <w:t>many of whom overcome issues of TCO buying used mobile devices, sharing and sending short, inexpensive PCM (</w:t>
      </w:r>
      <w:r>
        <w:rPr>
          <w:rtl w:val="0"/>
          <w:lang w:val="en-US"/>
        </w:rPr>
        <w:t>“</w:t>
      </w:r>
      <w:r>
        <w:rPr>
          <w:rtl w:val="0"/>
          <w:lang w:val="en-US"/>
        </w:rPr>
        <w:t>Please call me</w:t>
      </w:r>
      <w:r>
        <w:rPr>
          <w:rtl w:val="0"/>
          <w:lang w:val="en-US"/>
        </w:rPr>
        <w:t>”</w:t>
      </w:r>
      <w:r>
        <w:rPr>
          <w:rtl w:val="0"/>
          <w:lang w:val="en-US"/>
        </w:rPr>
        <w:t>) messages to save precious pennies.</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Any effective Internet services must also be equally innovative and affordable to people living at the base of the pyramid. Users will sometimes have no more than one US Dollar per month to spend on ICT. Operators, regulators, NGOs </w:t>
      </w:r>
      <w:r>
        <w:rPr>
          <w:rtl w:val="0"/>
          <w:lang w:val="en-US"/>
        </w:rPr>
        <w:t xml:space="preserve">– </w:t>
      </w:r>
      <w:r>
        <w:rPr>
          <w:rtl w:val="0"/>
          <w:lang w:val="en-US"/>
        </w:rPr>
        <w:t xml:space="preserve">all stakeholders </w:t>
      </w:r>
      <w:r>
        <w:rPr>
          <w:rtl w:val="0"/>
          <w:lang w:val="en-US"/>
        </w:rPr>
        <w:t xml:space="preserve">– </w:t>
      </w:r>
      <w:r>
        <w:rPr>
          <w:rtl w:val="0"/>
          <w:lang w:val="en-US"/>
        </w:rPr>
        <w:t>will need to collaborate</w:t>
      </w:r>
      <w:r>
        <w:rPr>
          <w:i w:val="1"/>
          <w:iCs w:val="1"/>
          <w:rtl w:val="0"/>
          <w:lang w:val="en-US"/>
        </w:rPr>
        <w:t xml:space="preserve"> and </w:t>
      </w:r>
      <w:r>
        <w:rPr>
          <w:rtl w:val="0"/>
          <w:lang w:val="en-US"/>
        </w:rPr>
        <w:t xml:space="preserve">innovate in order to deliver Internet services with the lowest possible operating and capital costs for end-users. Solutions will demand flexible thinking in the use of technology and business models </w:t>
      </w:r>
      <w:r>
        <w:rPr>
          <w:rtl w:val="0"/>
          <w:lang w:val="en-US"/>
        </w:rPr>
        <w:t xml:space="preserve">– </w:t>
      </w:r>
      <w:r>
        <w:rPr>
          <w:rtl w:val="0"/>
          <w:lang w:val="en-US"/>
        </w:rPr>
        <w:t>again based on local needs.</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TCO, however, is not the only challenge: just because people can afford access doesn</w:t>
      </w:r>
      <w:r>
        <w:rPr>
          <w:rtl w:val="0"/>
          <w:lang w:val="en-US"/>
        </w:rPr>
        <w:t>’</w:t>
      </w:r>
      <w:r>
        <w:rPr>
          <w:rtl w:val="0"/>
          <w:lang w:val="en-US"/>
        </w:rPr>
        <w:t>t necessarily mean they will use it.</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rFonts w:ascii="Helvetica" w:cs="Helvetica" w:hAnsi="Helvetica" w:eastAsia="Helvetica"/>
          <w:outline w:val="0"/>
          <w:color w:val="000000"/>
          <w:u w:color="000000"/>
          <w:lang w:val="en-US"/>
          <w14:textFill>
            <w14:solidFill>
              <w14:srgbClr w14:val="000000"/>
            </w14:solidFill>
          </w14:textFill>
        </w:rPr>
      </w:pPr>
      <w:r>
        <w:rPr>
          <w:rtl w:val="0"/>
          <w:lang w:val="en-US"/>
        </w:rPr>
        <w:t xml:space="preserve">Competence and motivation are important too. People need to know how to use a service, they need to be able to access the service conveniently, and they need to understand that there will be a real benefit before they will even think about spending money on it. In other words, people need the </w:t>
      </w:r>
      <w:r>
        <w:rPr>
          <w:i w:val="1"/>
          <w:iCs w:val="1"/>
          <w:rtl w:val="0"/>
          <w:lang w:val="en-US"/>
        </w:rPr>
        <w:t>motivation</w:t>
      </w:r>
      <w:r>
        <w:rPr>
          <w:rtl w:val="0"/>
          <w:lang w:val="en-US"/>
        </w:rPr>
        <w:t xml:space="preserve"> to access ICT.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Improving people</w:t>
      </w:r>
      <w:r>
        <w:rPr>
          <w:rtl w:val="0"/>
          <w:lang w:val="en-US"/>
        </w:rPr>
        <w:t>’</w:t>
      </w:r>
      <w:r>
        <w:rPr>
          <w:rtl w:val="0"/>
          <w:lang w:val="en-US"/>
        </w:rPr>
        <w:t xml:space="preserve">s ability to use ICT should go beyond the traditional peer-to-peer sharing of ICT usage practices, but requires strategic investment in education to provide the necessary training, as well as creating digital inclusion initiatives to enable as many people as possible to participate fully in their new, technology-driven economy. The most effective solutions will be flexible enough to adapt to local needs (will Internet access be made through fixed or mobile devices? What are the components of the local economy and how can access improve it? Who in the local economy can benefit most from access?) </w:t>
      </w:r>
      <w:r>
        <w:rPr>
          <w:rtl w:val="0"/>
          <w:lang w:val="en-US"/>
        </w:rPr>
        <w:t xml:space="preserve">– </w:t>
      </w:r>
      <w:r>
        <w:rPr>
          <w:rtl w:val="0"/>
          <w:lang w:val="en-US"/>
        </w:rPr>
        <w:t>ideally these solutions will take their cues from potential end-users themselves.</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Associated with this is the need (touched upon later in this paper) for locally relevant content </w:t>
      </w:r>
      <w:r>
        <w:rPr>
          <w:rtl w:val="0"/>
          <w:lang w:val="en-US"/>
        </w:rPr>
        <w:t xml:space="preserve">– </w:t>
      </w:r>
      <w:r>
        <w:rPr>
          <w:rtl w:val="0"/>
          <w:lang w:val="en-US"/>
        </w:rPr>
        <w:t xml:space="preserve">websites and eGovernance initiatives among them </w:t>
      </w:r>
      <w:r>
        <w:rPr>
          <w:rtl w:val="0"/>
          <w:lang w:val="en-US"/>
        </w:rPr>
        <w:t xml:space="preserve">– </w:t>
      </w:r>
      <w:r>
        <w:rPr>
          <w:rtl w:val="0"/>
          <w:lang w:val="en-US"/>
        </w:rPr>
        <w:t>that help to generate demand by their very usefulness to citizens. The best of these will create demand in a highly cost-efficient manner if their value is spread by word-of-mouth.</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These are but a few of the many challenges that must be resolved by stakeholders in order to create demand for connectivity. Access can improve the efficiency of individual consumers by reducing their spending on transport and goods, enabling them to check marketplace prices and availability before traveling, and by increasing the transparency of pricing for services, enabling consumers to buy what they need for the best possible price.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Whatever the service, it must be relevant to local needs, in the local language and tailored for the main development opportunities in rural areas and small towns. There are many different requirements even within a single country. In India, for instance, services must be in the user</w:t>
      </w:r>
      <w:r>
        <w:rPr>
          <w:rtl w:val="0"/>
          <w:lang w:val="en-US"/>
        </w:rPr>
        <w:t>’</w:t>
      </w:r>
      <w:r>
        <w:rPr>
          <w:rtl w:val="0"/>
          <w:lang w:val="en-US"/>
        </w:rPr>
        <w:t xml:space="preserve">s language, whether Bengali, Gujarati, Kannad, Punjabi, Tamil or Telgu </w:t>
      </w:r>
      <w:r>
        <w:rPr>
          <w:rtl w:val="0"/>
          <w:lang w:val="en-US"/>
        </w:rPr>
        <w:t xml:space="preserve">– </w:t>
      </w:r>
      <w:r>
        <w:rPr>
          <w:rtl w:val="0"/>
          <w:lang w:val="en-US"/>
        </w:rPr>
        <w:t xml:space="preserve">not just Hindi.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Addressing the needs of the local population, policy-makers, network service providers and the technical community can avoid the difficulties of applying urban-centric models to rural populations and focus instead on maximizing the benefits of connectivity quickly, effectively, and with the lowest TCO which again will be so critical to achieving real and lasting market penetration and </w:t>
      </w:r>
      <w:r>
        <w:rPr>
          <w:rtl w:val="0"/>
          <w:lang w:val="en-US"/>
        </w:rPr>
        <w:t xml:space="preserve">– </w:t>
      </w:r>
      <w:r>
        <w:rPr>
          <w:rtl w:val="0"/>
          <w:lang w:val="en-US"/>
        </w:rPr>
        <w:t xml:space="preserve">most important of all </w:t>
      </w:r>
      <w:r>
        <w:rPr>
          <w:rtl w:val="0"/>
          <w:lang w:val="en-US"/>
        </w:rPr>
        <w:t xml:space="preserve">– </w:t>
      </w:r>
      <w:r>
        <w:rPr>
          <w:rtl w:val="0"/>
          <w:lang w:val="en-US"/>
        </w:rPr>
        <w:t>usage.</w:t>
      </w:r>
    </w:p>
    <w:p>
      <w:pPr>
        <w:pStyle w:val="Normal.0"/>
        <w:rPr>
          <w:b w:val="1"/>
          <w:bCs w:val="1"/>
          <w:sz w:val="36"/>
          <w:szCs w:val="36"/>
        </w:rPr>
      </w:pPr>
    </w:p>
    <w:p>
      <w:pPr>
        <w:pStyle w:val="Normal.0"/>
        <w:jc w:val="center"/>
        <w:rPr>
          <w:b w:val="1"/>
          <w:bCs w:val="1"/>
          <w:sz w:val="28"/>
          <w:szCs w:val="28"/>
        </w:rPr>
      </w:pPr>
      <w:r>
        <w:rPr>
          <w:b w:val="1"/>
          <w:bCs w:val="1"/>
          <w:sz w:val="28"/>
          <w:szCs w:val="28"/>
          <w:rtl w:val="0"/>
          <w:lang w:val="en-US"/>
        </w:rPr>
        <w:t xml:space="preserve">Section Two: Supply </w:t>
      </w:r>
      <w:r>
        <w:rPr>
          <w:rFonts w:ascii="Verdana" w:cs="Verdana" w:hAnsi="Verdana" w:eastAsia="Verdana"/>
          <w:b w:val="1"/>
          <w:bCs w:val="1"/>
          <w:sz w:val="28"/>
          <w:szCs w:val="28"/>
        </w:rPr>
        <w:br w:type="textWrapping"/>
      </w:r>
    </w:p>
    <w:p>
      <w:pPr>
        <w:pStyle w:val="Normal.0"/>
        <w:jc w:val="center"/>
        <w:rPr>
          <w:b w:val="1"/>
          <w:bCs w:val="1"/>
          <w:sz w:val="36"/>
          <w:szCs w:val="36"/>
        </w:rPr>
      </w:pPr>
    </w:p>
    <w:p>
      <w:pPr>
        <w:pStyle w:val="Normal.0"/>
        <w:jc w:val="center"/>
        <w:rPr>
          <w:b w:val="1"/>
          <w:bCs w:val="1"/>
          <w:sz w:val="36"/>
          <w:szCs w:val="36"/>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lang w:val="en-US"/>
        </w:rPr>
      </w:pPr>
    </w:p>
    <w:p>
      <w:pPr>
        <w:pStyle w:val="Normal.0"/>
        <w:spacing w:line="480" w:lineRule="auto"/>
      </w:pPr>
      <w:r>
        <w:rPr>
          <w:rtl w:val="0"/>
          <w:lang w:val="en-US"/>
        </w:rPr>
        <w:t xml:space="preserve">Supply, in the context of this discussion, refers to the availability of Internet infrastructure. The Tunis Agenda called for stakeholders to provide better funding to help bridge the </w:t>
      </w:r>
      <w:r>
        <w:rPr>
          <w:rtl w:val="0"/>
          <w:lang w:val="en-US"/>
        </w:rPr>
        <w:t>“</w:t>
      </w:r>
      <w:r>
        <w:rPr>
          <w:rtl w:val="0"/>
          <w:lang w:val="en-US"/>
        </w:rPr>
        <w:t>digital divide</w:t>
      </w:r>
      <w:r>
        <w:rPr>
          <w:rtl w:val="0"/>
          <w:lang w:val="en-US"/>
        </w:rPr>
        <w:t>”</w:t>
      </w:r>
      <w:r>
        <w:rPr>
          <w:rtl w:val="0"/>
          <w:lang w:val="en-US"/>
        </w:rPr>
        <w:t>.</w:t>
      </w:r>
      <w:r>
        <w:rPr>
          <w:rStyle w:val="Footnote Reference"/>
        </w:rPr>
        <w:footnoteReference w:id="4"/>
      </w:r>
      <w:r>
        <w:rPr>
          <w:rtl w:val="0"/>
          <w:lang w:val="en-US"/>
        </w:rPr>
        <w:t xml:space="preserve"> And these stakeho</w:t>
      </w:r>
      <w:bookmarkStart w:name="OLE_LINK3" w:id="0"/>
      <w:r>
        <w:rPr>
          <w:rtl w:val="0"/>
          <w:lang w:val="en-US"/>
        </w:rPr>
        <w:t>l</w:t>
      </w:r>
      <w:bookmarkEnd w:id="0"/>
      <w:bookmarkStart w:name="OLE_LINK4" w:id="1"/>
      <w:r>
        <w:rPr>
          <w:rtl w:val="0"/>
          <w:lang w:val="en-US"/>
        </w:rPr>
        <w:t xml:space="preserve">ders (including governments, aid organizations, and businesses) have each responded in their own ways hoping for a variety of reasons that they will be among the first to help bring Internet access to people living at the base of the pyramid. </w:t>
      </w:r>
    </w:p>
    <w:p>
      <w:pPr>
        <w:pStyle w:val="Normal.0"/>
        <w:spacing w:line="480" w:lineRule="auto"/>
      </w:pPr>
    </w:p>
    <w:p>
      <w:pPr>
        <w:pStyle w:val="Normal.0"/>
        <w:spacing w:line="480" w:lineRule="auto"/>
      </w:pPr>
      <w:r>
        <w:rPr>
          <w:rtl w:val="0"/>
          <w:lang w:val="en-US"/>
        </w:rPr>
        <w:t>But even with more capital available sticky supply issues continue to negatively affect Internet access for billions of people</w:t>
      </w:r>
      <w:bookmarkEnd w:id="1"/>
      <w:r>
        <w:rPr>
          <w:rtl w:val="0"/>
          <w:lang w:val="en-US"/>
        </w:rPr>
        <w:t>.</w:t>
      </w:r>
    </w:p>
    <w:p>
      <w:pPr>
        <w:pStyle w:val="Normal.0"/>
        <w:rPr>
          <w:lang w:val="en-US"/>
        </w:rPr>
      </w:pPr>
    </w:p>
    <w:p>
      <w:pPr>
        <w:pStyle w:val="Normal.0"/>
        <w:spacing w:line="480" w:lineRule="auto"/>
        <w:rPr>
          <w:lang w:val="en-US"/>
        </w:rPr>
      </w:pPr>
      <w:r>
        <w:rPr>
          <w:rtl w:val="0"/>
          <w:lang w:val="en-US"/>
        </w:rPr>
        <w:t xml:space="preserve">First is a lack of physical infrastructure </w:t>
      </w:r>
      <w:r>
        <w:rPr>
          <w:rtl w:val="0"/>
          <w:lang w:val="en-US"/>
        </w:rPr>
        <w:t xml:space="preserve">– </w:t>
      </w:r>
      <w:r>
        <w:rPr>
          <w:rtl w:val="0"/>
          <w:lang w:val="en-US"/>
        </w:rPr>
        <w:t xml:space="preserve">poor roads, no power, and low population density drive up costs, pricing services out of reach for end-users and keeping service providers focused on urban markets where the margins are higher. </w:t>
      </w:r>
    </w:p>
    <w:p>
      <w:pPr>
        <w:pStyle w:val="Norm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Some governments impose restrictions on the use of technology that is best suited for underserved areas, like VSAT satellite and wireless, or they close telecommunications markets altogether, as happened in Ethiopia. The imposition of high license fees can make providing services to underserved areas commercially unattractive. In some cases, governments shield monopoly operators. Without competition there is no motivation to drive operators to certain areas of the market and TCO for end-users remains high.  </w:t>
      </w:r>
    </w:p>
    <w:p>
      <w:pPr>
        <w:pStyle w:val="Normal.0"/>
        <w:spacing w:line="480" w:lineRule="auto"/>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pPr>
      <w:r>
        <w:rPr>
          <w:rtl w:val="0"/>
          <w:lang w:val="en-US"/>
        </w:rPr>
        <w:t xml:space="preserve">On the plus side, </w:t>
      </w:r>
      <w:r>
        <w:rPr>
          <w:rtl w:val="0"/>
          <w:lang w:val="en-US"/>
        </w:rPr>
        <w:t xml:space="preserve">WiFi has brought new communities online, and encouraged the creation of new Internet service providers independent of large national operators. The host of innovative new WiFi networks have come about thanks to spectrum availability, accessible, easy-to-use technology and new business models that help drive down TCO.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WiMAX, too, has had an impact, thanks to its low-cost equipment, easy integration with PCs and operating systems, interoperability and some favorable regulatory decisions having to do with spectrum</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i w:val="1"/>
          <w:iCs w:val="1"/>
          <w:rtl w:val="0"/>
          <w:lang w:val="en-US"/>
        </w:rPr>
        <w:t xml:space="preserve">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In recent years there has also been a trend towards Internet protocol (IP) convergence in the mobile industry. Voice over Internet protocol (VoIP) mobile connectivity is still in its infancy in developing regions -- fibre deployment is limited and markets are small. There is a real need to improve infrastructure, simplify complex and unfavorable regulatory environments, and open up uncompetitive markets </w:t>
      </w:r>
      <w:r>
        <w:rPr>
          <w:rtl w:val="0"/>
          <w:lang w:val="en-US"/>
        </w:rPr>
        <w:t xml:space="preserve">– </w:t>
      </w:r>
      <w:r>
        <w:rPr>
          <w:rtl w:val="0"/>
          <w:lang w:val="en-US"/>
        </w:rPr>
        <w:t xml:space="preserve">all would help drive down TCO, and, given mobile penetration in emerging markets, it seems likely that once the TCO for mobile Internet connectivity comes down to a certain level and the infrastructure is in place then many hundreds of millions of people at the base of the pyramid will connect to the Internet for the first time using mobile phones and not PCs.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lang w:val="en-US"/>
        </w:rPr>
      </w:pPr>
      <w:r>
        <w:rPr>
          <w:rtl w:val="0"/>
          <w:lang w:val="en-US"/>
        </w:rPr>
        <w:t xml:space="preserve">Another recent development has been the advent of so-called </w:t>
      </w:r>
      <w:r>
        <w:rPr>
          <w:rtl w:val="0"/>
          <w:lang w:val="en-US"/>
        </w:rPr>
        <w:t>“</w:t>
      </w:r>
      <w:r>
        <w:rPr>
          <w:rtl w:val="0"/>
          <w:lang w:val="en-US"/>
        </w:rPr>
        <w:t>village connection</w:t>
      </w:r>
      <w:r>
        <w:rPr>
          <w:rtl w:val="0"/>
          <w:lang w:val="en-US"/>
        </w:rPr>
        <w:t xml:space="preserve">” </w:t>
      </w:r>
      <w:r>
        <w:rPr>
          <w:rtl w:val="0"/>
          <w:lang w:val="en-US"/>
        </w:rPr>
        <w:t xml:space="preserve">access points and inreased usage of </w:t>
      </w:r>
      <w:r>
        <w:rPr>
          <w:rtl w:val="0"/>
          <w:lang w:val="en-US"/>
        </w:rPr>
        <w:t>“</w:t>
      </w:r>
      <w:r>
        <w:rPr>
          <w:rtl w:val="0"/>
          <w:lang w:val="en-US"/>
        </w:rPr>
        <w:t>Internet kiosks</w:t>
      </w:r>
      <w:r>
        <w:rPr>
          <w:rtl w:val="0"/>
          <w:lang w:val="en-US"/>
        </w:rPr>
        <w:t>”</w:t>
      </w:r>
      <w:r>
        <w:rPr>
          <w:rtl w:val="0"/>
          <w:lang w:val="en-US"/>
        </w:rPr>
        <w:t>, which bring voice and Internet connectivity to rural communities where traditional GSM network rollout and operation would be too costly. The solution</w:t>
      </w:r>
      <w:r>
        <w:rPr>
          <w:rtl w:val="0"/>
          <w:lang w:val="en-US"/>
        </w:rPr>
        <w:t>’</w:t>
      </w:r>
      <w:r>
        <w:rPr>
          <w:rtl w:val="0"/>
          <w:lang w:val="en-US"/>
        </w:rPr>
        <w:t>s IP-based network architecture and the new business model of local village hosts reduce the operator</w:t>
      </w:r>
      <w:r>
        <w:rPr>
          <w:rtl w:val="0"/>
          <w:lang w:val="en-US"/>
        </w:rPr>
        <w:t>’</w:t>
      </w:r>
      <w:r>
        <w:rPr>
          <w:rtl w:val="0"/>
          <w:lang w:val="en-US"/>
        </w:rPr>
        <w:t>s capital and operating expenditure, reducing TCO and therefore making good business sense in emerging markets. These solutions, where they have been employed, have shown promise and communities appreciate the innovative structure that rewards local entrepreneurs, who also act as ambassadors for the technology and provide necessary education and mentorship.</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jc w:val="center"/>
        <w:rPr>
          <w:b w:val="1"/>
          <w:bCs w:val="1"/>
          <w:lang w:val="en-US"/>
        </w:rPr>
      </w:pPr>
      <w:r>
        <w:rPr>
          <w:b w:val="1"/>
          <w:bCs w:val="1"/>
          <w:rtl w:val="0"/>
          <w:lang w:val="en-US"/>
        </w:rPr>
        <w:t>The importance of local content</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In order to help stimulate demand for Internet access, it will be important for stakeholders to produce locally relevant material </w:t>
      </w:r>
      <w:r>
        <w:rPr>
          <w:rtl w:val="0"/>
          <w:lang w:val="en-US"/>
        </w:rPr>
        <w:t xml:space="preserve">– </w:t>
      </w:r>
      <w:r>
        <w:rPr>
          <w:rtl w:val="0"/>
          <w:lang w:val="en-US"/>
        </w:rPr>
        <w:t>from news, weather and sports to eGovernance and e-commerce initiatives in the local language. User generated content also is going to play a bigger role in the future.</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Support for local content should coincide with support for local infrastructure and education </w:t>
      </w:r>
      <w:r>
        <w:rPr>
          <w:rtl w:val="0"/>
          <w:lang w:val="en-US"/>
        </w:rPr>
        <w:t xml:space="preserve">– </w:t>
      </w:r>
      <w:r>
        <w:rPr>
          <w:rtl w:val="0"/>
          <w:lang w:val="en-US"/>
        </w:rPr>
        <w:t xml:space="preserve">again driven by all stakeholders to help stimulate access. All parties must ensure that large investments in physical infrastructure are accompanied by training and the involvement of the local communities. </w:t>
      </w:r>
    </w:p>
    <w:p>
      <w:pPr>
        <w:pStyle w:val="Normal.0"/>
        <w:rPr>
          <w:lang w:val="en-US"/>
        </w:rPr>
      </w:pPr>
    </w:p>
    <w:p>
      <w:pPr>
        <w:pStyle w:val="Normal.0"/>
        <w:rPr>
          <w:lang w:val="en-US"/>
        </w:rPr>
      </w:pPr>
    </w:p>
    <w:p>
      <w:pPr>
        <w:pStyle w:val="Normal.0"/>
        <w:rPr>
          <w:lang w:val="en-US"/>
        </w:rPr>
      </w:pPr>
    </w:p>
    <w:p>
      <w:pPr>
        <w:pStyle w:val="Normal.0"/>
        <w:rPr>
          <w:lang w:val="en-US"/>
        </w:rPr>
      </w:pPr>
    </w:p>
    <w:p>
      <w:pPr>
        <w:pStyle w:val="Normal.0"/>
        <w:jc w:val="center"/>
        <w:rPr>
          <w:b w:val="1"/>
          <w:bCs w:val="1"/>
          <w:sz w:val="28"/>
          <w:szCs w:val="28"/>
        </w:rPr>
      </w:pPr>
    </w:p>
    <w:p>
      <w:pPr>
        <w:pStyle w:val="Normal.0"/>
        <w:jc w:val="center"/>
      </w:pPr>
      <w:r>
        <w:rPr>
          <w:rFonts w:ascii="Arial Unicode MS" w:cs="Arial Unicode MS" w:hAnsi="Arial Unicode MS" w:eastAsia="Arial Unicode MS"/>
          <w:b w:val="0"/>
          <w:bCs w:val="0"/>
          <w:i w:val="0"/>
          <w:iCs w:val="0"/>
          <w:sz w:val="28"/>
          <w:szCs w:val="28"/>
        </w:rPr>
        <w:br w:type="page"/>
      </w:r>
    </w:p>
    <w:p>
      <w:pPr>
        <w:pStyle w:val="Normal.0"/>
        <w:jc w:val="center"/>
        <w:rPr>
          <w:b w:val="1"/>
          <w:bCs w:val="1"/>
          <w:sz w:val="28"/>
          <w:szCs w:val="28"/>
        </w:rPr>
      </w:pPr>
      <w:r>
        <w:rPr>
          <w:b w:val="1"/>
          <w:bCs w:val="1"/>
          <w:sz w:val="28"/>
          <w:szCs w:val="28"/>
          <w:rtl w:val="0"/>
          <w:lang w:val="en-US"/>
        </w:rPr>
        <w:t>Section Three: Development</w:t>
      </w:r>
    </w:p>
    <w:p>
      <w:pPr>
        <w:pStyle w:val="Normal.0"/>
        <w:jc w:val="center"/>
        <w:rPr>
          <w:sz w:val="28"/>
          <w:szCs w:val="28"/>
        </w:rPr>
      </w:pPr>
    </w:p>
    <w:p>
      <w:pPr>
        <w:pStyle w:val="Normal.0"/>
        <w:spacing w:line="480" w:lineRule="auto"/>
        <w:rPr>
          <w:rFonts w:ascii="Helvetica" w:cs="Helvetica" w:hAnsi="Helvetica" w:eastAsia="Helvetica"/>
          <w:lang w:val="en-US"/>
        </w:rPr>
      </w:pPr>
    </w:p>
    <w:p>
      <w:pPr>
        <w:pStyle w:val="Normal.0"/>
        <w:spacing w:line="480" w:lineRule="auto"/>
        <w:rPr>
          <w:rFonts w:ascii="Helvetica" w:cs="Helvetica" w:hAnsi="Helvetica" w:eastAsia="Helvetica"/>
          <w:lang w:val="en-US"/>
        </w:rPr>
      </w:pPr>
    </w:p>
    <w:p>
      <w:pPr>
        <w:pStyle w:val="Normal.0"/>
        <w:spacing w:line="480" w:lineRule="auto"/>
      </w:pPr>
      <w:r>
        <w:rPr>
          <w:rtl w:val="0"/>
          <w:lang w:val="en-US"/>
        </w:rPr>
        <w:t xml:space="preserve">Creating, implementing, and managing access incentives </w:t>
      </w:r>
      <w:r>
        <w:rPr>
          <w:rtl w:val="0"/>
          <w:lang w:val="en-US"/>
        </w:rPr>
        <w:t xml:space="preserve">– </w:t>
      </w:r>
      <w:r>
        <w:rPr>
          <w:rtl w:val="0"/>
          <w:lang w:val="en-US"/>
        </w:rPr>
        <w:t>the demands on regulators are many and complex. Coordinating with complementary sectors, promoting the positive aspects of ICTs, promoting diverse participation in the provision of products and services in rural and underserved areas, regulators are stretching their resources to the limits.</w:t>
      </w:r>
    </w:p>
    <w:p>
      <w:pPr>
        <w:pStyle w:val="Normal.0"/>
        <w:spacing w:line="480" w:lineRule="auto"/>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rFonts w:ascii="Arial" w:cs="Arial" w:hAnsi="Arial" w:eastAsia="Arial"/>
        </w:rPr>
      </w:pPr>
      <w:r>
        <w:rPr>
          <w:rtl w:val="0"/>
          <w:lang w:val="en-US"/>
        </w:rPr>
        <w:t xml:space="preserve">With this in mind it is vital that regulators also to look beyond government policy and work with other stakeholders to spread the workload and improve conditions for effective access.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pPr>
      <w:r>
        <w:rPr>
          <w:rFonts w:ascii="Arial" w:cs="Arial" w:hAnsi="Arial" w:eastAsia="Arial"/>
        </w:rPr>
        <w:br w:type="textWrapping"/>
      </w:r>
      <w:r>
        <w:rPr>
          <w:rtl w:val="0"/>
          <w:lang w:val="en-US"/>
        </w:rPr>
        <w:t xml:space="preserve">A </w:t>
      </w:r>
      <w:r>
        <w:rPr>
          <w:i w:val="1"/>
          <w:iCs w:val="1"/>
          <w:rtl w:val="0"/>
          <w:lang w:val="en-US"/>
        </w:rPr>
        <w:t>development</w:t>
      </w:r>
      <w:r>
        <w:rPr>
          <w:rtl w:val="0"/>
          <w:lang w:val="en-US"/>
        </w:rPr>
        <w:t xml:space="preserve"> focus will be useful moving forward both in making investment decisions and responding to needs that are not articulated well by traditional market mechanisms in general.</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pPr>
      <w:r>
        <w:rPr>
          <w:rFonts w:ascii="Arial" w:cs="Arial" w:hAnsi="Arial" w:eastAsia="Arial"/>
          <w:lang w:val="en-US"/>
        </w:rPr>
        <w:br w:type="textWrapping"/>
      </w:r>
      <w:r>
        <w:rPr>
          <w:rtl w:val="0"/>
          <w:lang w:val="en-US"/>
        </w:rPr>
        <w:t xml:space="preserve">Such a development focus would see ICTs as more than just a communicative tool but as key to local development. A multi-sector approach to regulation </w:t>
      </w:r>
      <w:r>
        <w:rPr>
          <w:rtl w:val="0"/>
          <w:lang w:val="en-US"/>
        </w:rPr>
        <w:t xml:space="preserve">– </w:t>
      </w:r>
      <w:r>
        <w:rPr>
          <w:rtl w:val="0"/>
          <w:lang w:val="en-US"/>
        </w:rPr>
        <w:t>where the focus is on exploiting the complementarities between different types of infrastructure (e.g. roads, canals, power and ICT cabling or the use of the power grid for enabling ICT) so as to not only reduce costs of infrastructure development but also to contribute to the potentially more effective use of universal access funds and/or scarce development resources. There are also complementarities between ICT and the financial world, which could be made to overcome some limitations regarding access to finance using m-banking applications.</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There is an opportunity for the IGF to advance the development dimensions of ICT regulation. This can be achieved by enhancing the priority of ICTs in development (and investment) decision-making spaces and by encouraging the creation of incentives that promote ICTs as a development tool </w:t>
      </w:r>
      <w:r>
        <w:rPr>
          <w:rtl w:val="0"/>
          <w:lang w:val="en-US"/>
        </w:rPr>
        <w:t xml:space="preserve">– </w:t>
      </w:r>
      <w:r>
        <w:rPr>
          <w:rtl w:val="0"/>
          <w:lang w:val="en-US"/>
        </w:rPr>
        <w:t xml:space="preserve">particularly at the level of rural/local access. Such regulation would incorporate more than market-driven incentives and/or address a market-failure situation, but seek to locate ICT regulatory policy in the context of development and local development strategies. This would focus on complementarities in providing and financing critical infrastructures and include the promotion of public-private partnership models. Such regulation would also move beyond just direct uses of ICT to also consider its transformative aspects in terms of local development opportunities by enabling the reorganization and enhanced viability of local enterprises, empowerment of stakeholders, etc.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A focus on the developmental aspects of ICTs also requires regulation that promotes technological choice, responds to the demands of communities, and addresses the challenges/opportunities of convergence.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The rapid uptake of mobile phones in developing nations means that they are now considered to be a viable technology for providing voice, access to the Internet and a variety of financial and e-governance services </w:t>
      </w:r>
      <w:r>
        <w:rPr>
          <w:rtl w:val="0"/>
          <w:lang w:val="en-US"/>
        </w:rPr>
        <w:t xml:space="preserve">– </w:t>
      </w:r>
      <w:r>
        <w:rPr>
          <w:rtl w:val="0"/>
          <w:lang w:val="en-US"/>
        </w:rPr>
        <w:t>at least at present. Regulation must therefore provide an enabling environment for the use of the technology for such purposes.</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suppressAutoHyphens w:val="0"/>
        <w:spacing w:line="480" w:lineRule="auto"/>
        <w:rPr>
          <w:lang w:val="en-US"/>
        </w:rPr>
      </w:pPr>
      <w:r>
        <w:rPr>
          <w:rtl w:val="0"/>
          <w:lang w:val="en-US"/>
        </w:rPr>
        <w:t xml:space="preserve">Connecting the next billions can also be facilitated linking supply with national development goals related to job creation and related approaches to communication. For example, in the Indian states of Manipur and Jharkand, the state governments have directly linked ICT development with job creation. At the national level, the Indian government's National Rural Employment Guarantee Act underpins its ambitious development objectives for guaranteeing rural employment with the rollout of ICTs in rural areas to make this possible </w:t>
      </w:r>
      <w:r>
        <w:rPr>
          <w:rtl w:val="0"/>
          <w:lang w:val="en-US"/>
        </w:rPr>
        <w:t xml:space="preserve">– </w:t>
      </w:r>
      <w:r>
        <w:rPr>
          <w:rtl w:val="0"/>
          <w:lang w:val="en-US"/>
        </w:rPr>
        <w:t xml:space="preserve">from the registration of workers to the issue of job cards, the preparation of work estimates, muster rolls and payments to workers: all of this has been computerized. </w:t>
      </w:r>
    </w:p>
    <w:p>
      <w:pPr>
        <w:pStyle w:val="Normal.0"/>
        <w:widowControl w:val="0"/>
        <w:suppressAutoHyphens w:val="0"/>
        <w:spacing w:line="480" w:lineRule="auto"/>
        <w:rPr>
          <w:lang w:val="en-US"/>
        </w:rPr>
      </w:pPr>
    </w:p>
    <w:p>
      <w:pPr>
        <w:pStyle w:val="Normal.0"/>
        <w:widowControl w:val="0"/>
        <w:suppressAutoHyphens w:val="0"/>
        <w:spacing w:line="480" w:lineRule="auto"/>
        <w:rPr>
          <w:lang w:val="en-US"/>
        </w:rPr>
      </w:pPr>
      <w:r>
        <w:rPr>
          <w:rtl w:val="0"/>
          <w:lang w:val="en-US"/>
        </w:rPr>
        <w:t>Ecuador</w:t>
      </w:r>
      <w:r>
        <w:rPr>
          <w:rtl w:val="0"/>
          <w:lang w:val="en-US"/>
        </w:rPr>
        <w:t>’</w:t>
      </w:r>
      <w:r>
        <w:rPr>
          <w:rtl w:val="0"/>
          <w:lang w:val="en-US"/>
        </w:rPr>
        <w:t>s new constitution (adopted this year) establishes its citizens</w:t>
      </w:r>
      <w:r>
        <w:rPr>
          <w:rtl w:val="0"/>
          <w:lang w:val="en-US"/>
        </w:rPr>
        <w:t xml:space="preserve">’ </w:t>
      </w:r>
      <w:r>
        <w:rPr>
          <w:rtl w:val="0"/>
          <w:lang w:val="en-US"/>
        </w:rPr>
        <w:t xml:space="preserve">access to ICTs as a constitutional right, recognizing that access to ICTs underpins citizenship in democratic societies to help enable their citizens to communicate </w:t>
      </w:r>
      <w:r>
        <w:rPr>
          <w:rtl w:val="0"/>
          <w:lang w:val="en-US"/>
        </w:rPr>
        <w:t xml:space="preserve">– </w:t>
      </w:r>
      <w:r>
        <w:rPr>
          <w:rtl w:val="0"/>
          <w:lang w:val="en-US"/>
        </w:rPr>
        <w:t xml:space="preserve">for their voices to be heard </w:t>
      </w:r>
      <w:r>
        <w:rPr>
          <w:rtl w:val="0"/>
          <w:lang w:val="en-US"/>
        </w:rPr>
        <w:t xml:space="preserve">– </w:t>
      </w:r>
      <w:r>
        <w:rPr>
          <w:rtl w:val="0"/>
          <w:lang w:val="en-US"/>
        </w:rPr>
        <w:t xml:space="preserve">and to improve government accountability. </w:t>
      </w:r>
    </w:p>
    <w:p>
      <w:pPr>
        <w:pStyle w:val="Normal.0"/>
        <w:widowControl w:val="0"/>
        <w:suppressAutoHyphens w:val="0"/>
        <w:spacing w:line="480" w:lineRule="auto"/>
        <w:rPr>
          <w:lang w:val="en-US"/>
        </w:rPr>
      </w:pPr>
    </w:p>
    <w:p>
      <w:pPr>
        <w:pStyle w:val="Normal.0"/>
        <w:widowControl w:val="0"/>
        <w:suppressAutoHyphens w:val="0"/>
        <w:spacing w:line="480" w:lineRule="auto"/>
        <w:rPr>
          <w:lang w:val="en-US"/>
        </w:rPr>
      </w:pPr>
      <w:r>
        <w:rPr>
          <w:rtl w:val="0"/>
          <w:lang w:val="en-US"/>
        </w:rPr>
        <w:t xml:space="preserve">Yet another way for governments to help encourage access to in rural areas is to harness the energy of ICT-savvy youth </w:t>
      </w:r>
      <w:r>
        <w:rPr>
          <w:rtl w:val="0"/>
          <w:lang w:val="en-US"/>
        </w:rPr>
        <w:t xml:space="preserve">– </w:t>
      </w:r>
      <w:r>
        <w:rPr>
          <w:rtl w:val="0"/>
          <w:lang w:val="en-US"/>
        </w:rPr>
        <w:t xml:space="preserve">enlisting them to help develop relevant local applications </w:t>
      </w:r>
      <w:r>
        <w:rPr>
          <w:rtl w:val="0"/>
          <w:lang w:val="en-US"/>
        </w:rPr>
        <w:t xml:space="preserve">– </w:t>
      </w:r>
      <w:r>
        <w:rPr>
          <w:rtl w:val="0"/>
          <w:lang w:val="en-US"/>
        </w:rPr>
        <w:t>as the government of Kenya has done. Revising the mandates of Universal Access Funds to help enable capacity building for local youth and teachers to become ICT-literate could jump-start the localization of applications, access and service delivery in rural areas.</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rPr>
          <w:lang w:val="en-US"/>
        </w:rPr>
      </w:pPr>
      <w:r>
        <w:rPr>
          <w:rtl w:val="0"/>
          <w:lang w:val="en-US"/>
        </w:rPr>
        <w:t xml:space="preserve">In responding to the demands of communities, regulation needs to facilitate exploration of new-generation, community-driven networks as platforms for a variety of ICTs: cheap telephony, community radio and locally relevant, Internet-based content. Such networks help to stimulate demand and are at the same more responsive to current/changing community needs as the focus is not on any one technology but the community itself. </w:t>
      </w:r>
    </w:p>
    <w:p>
      <w:pPr>
        <w:pStyle w:val="Norm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480" w:lineRule="auto"/>
      </w:pPr>
      <w:r>
        <w:rPr>
          <w:rFonts w:ascii="Arial" w:cs="Arial" w:hAnsi="Arial" w:eastAsia="Arial"/>
          <w:lang w:val="en-US"/>
        </w:rPr>
        <w:br w:type="textWrapping"/>
      </w:r>
      <w:r>
        <w:rPr>
          <w:rtl w:val="0"/>
          <w:lang w:val="en-US"/>
        </w:rPr>
        <w:t xml:space="preserve"> </w:t>
        <w:br w:type="textWrapping"/>
      </w:r>
      <w:r>
        <w:rPr>
          <w:rtl w:val="0"/>
          <w:lang w:val="en-US"/>
        </w:rPr>
        <w:t xml:space="preserve"> </w:t>
      </w: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rPr>
          <w:b w:val="1"/>
          <w:bCs w:val="1"/>
        </w:rPr>
      </w:pPr>
    </w:p>
    <w:p>
      <w:pPr>
        <w:pStyle w:val="Normal.0"/>
        <w:spacing w:line="480" w:lineRule="auto"/>
        <w:jc w:val="center"/>
        <w:rPr>
          <w:b w:val="1"/>
          <w:bCs w:val="1"/>
        </w:rPr>
      </w:pPr>
      <w:r>
        <w:rPr>
          <w:b w:val="1"/>
          <w:bCs w:val="1"/>
          <w:rtl w:val="0"/>
          <w:lang w:val="en-US"/>
        </w:rPr>
        <w:t>Enabling access: ten questions to ask at Hyderabad</w:t>
      </w:r>
    </w:p>
    <w:p>
      <w:pPr>
        <w:pStyle w:val="Normal.0"/>
        <w:spacing w:line="480" w:lineRule="auto"/>
        <w:jc w:val="center"/>
        <w:rPr>
          <w:b w:val="1"/>
          <w:bCs w:val="1"/>
        </w:rPr>
      </w:pPr>
    </w:p>
    <w:p>
      <w:pPr>
        <w:pStyle w:val="Normal.0"/>
        <w:jc w:val="center"/>
        <w:rPr>
          <w:b w:val="1"/>
          <w:bCs w:val="1"/>
          <w:outline w:val="0"/>
          <w:color w:val="000000"/>
          <w:u w:color="000000"/>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What are the primary Internet public policy concerns relevant to issues of demand/supply/development of access today?</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Which regulatory environment best promotes access for the next billions of users?</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Which is most hindering to access?</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What are the benefits of globally standardized equipment versus the needs for local customization?</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How can public policy instruments promote innovation and the creation of services in support of development needs?</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What is the role of public policy in stimulating investment in infrastructure?</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How can critical resources like radio spectrum be allocated for an efficient and equitable access?</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What are some critical concerns related to number and address allocation that need to be resolved in order to make access for the next billions possible?</w:t>
      </w: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suppressAutoHyphens w:val="0"/>
        <w:rPr>
          <w:b w:val="1"/>
          <w:bCs w:val="1"/>
          <w:outline w:val="0"/>
          <w:color w:val="000000"/>
          <w:u w:color="000000"/>
          <w:lang w:val="en-US"/>
          <w14:textFill>
            <w14:solidFill>
              <w14:srgbClr w14:val="000000"/>
            </w14:solidFill>
          </w14:textFill>
        </w:rPr>
      </w:pPr>
    </w:p>
    <w:p>
      <w:pPr>
        <w:pStyle w:val="Normal.0"/>
        <w:widowControl w:val="0"/>
        <w:numPr>
          <w:ilvl w:val="0"/>
          <w:numId w:val="2"/>
        </w:numPr>
        <w:suppressAutoHyphens w:val="0"/>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How can public policy ensure that the benefits of the information society accrue to consumers and businesses, providing them with choices related to access, connectivity, services and content?</w:t>
      </w:r>
    </w:p>
    <w:p>
      <w:pPr>
        <w:pStyle w:val="Normal.0"/>
        <w:widowControl w:val="0"/>
        <w:suppressAutoHyphens w:val="0"/>
        <w:ind w:left="60" w:firstLine="0"/>
        <w:rPr>
          <w:b w:val="1"/>
          <w:bCs w:val="1"/>
          <w:outline w:val="0"/>
          <w:color w:val="000000"/>
          <w:u w:color="000000"/>
          <w:lang w:val="en-US"/>
          <w14:textFill>
            <w14:solidFill>
              <w14:srgbClr w14:val="000000"/>
            </w14:solidFill>
          </w14:textFill>
        </w:rPr>
      </w:pPr>
    </w:p>
    <w:p>
      <w:pPr>
        <w:pStyle w:val="Normal.0"/>
        <w:widowControl w:val="0"/>
        <w:suppressAutoHyphens w:val="0"/>
        <w:ind w:left="60" w:firstLine="0"/>
        <w:rPr>
          <w:b w:val="1"/>
          <w:bCs w:val="1"/>
          <w:outline w:val="0"/>
          <w:color w:val="000000"/>
          <w:u w:color="000000"/>
          <w:lang w:val="en-US"/>
          <w14:textFill>
            <w14:solidFill>
              <w14:srgbClr w14:val="000000"/>
            </w14:solidFill>
          </w14:textFill>
        </w:rPr>
      </w:pPr>
    </w:p>
    <w:p>
      <w:pPr>
        <w:pStyle w:val="Normal.0"/>
        <w:numPr>
          <w:ilvl w:val="0"/>
          <w:numId w:val="2"/>
        </w:numPr>
        <w:bidi w:val="0"/>
        <w:ind w:right="0"/>
        <w:jc w:val="left"/>
        <w:rPr>
          <w:b w:val="1"/>
          <w:bCs w:val="1"/>
          <w:rtl w:val="0"/>
          <w:lang w:val="en-US"/>
        </w:rPr>
      </w:pPr>
      <w:r>
        <w:rPr>
          <w:b w:val="1"/>
          <w:bCs w:val="1"/>
          <w:outline w:val="0"/>
          <w:color w:val="000000"/>
          <w:u w:color="000000"/>
          <w:rtl w:val="0"/>
          <w:lang w:val="en-US"/>
          <w14:textFill>
            <w14:solidFill>
              <w14:srgbClr w14:val="000000"/>
            </w14:solidFill>
          </w14:textFill>
        </w:rPr>
        <w:t>What roles must different stakeholder groups (business, governments, international organizations, civil society and the technical community) play in the areas of demand/supply/development to ensure the next billions gain access to the Internet?</w:t>
      </w:r>
      <w:r>
        <w:rPr>
          <w:b w:val="1"/>
          <w:bCs w:val="1"/>
          <w:outline w:val="0"/>
          <w:color w:val="000000"/>
          <w:u w:color="000000"/>
          <w:rtl w:val="0"/>
          <w:lang w:val="en-US"/>
          <w14:textFill>
            <w14:solidFill>
              <w14:srgbClr w14:val="000000"/>
            </w14:solidFill>
          </w14:textFill>
        </w:rPr>
        <w:t> </w:t>
      </w:r>
      <w:r>
        <w:rPr>
          <w:b w:val="1"/>
          <w:bCs w:val="1"/>
          <w:lang w:val="en-US"/>
        </w:rPr>
      </w:r>
    </w:p>
    <w:sectPr>
      <w:headerReference w:type="default" r:id="rId4"/>
      <w:footerReference w:type="default" r:id="rId5"/>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sz w:val="20"/>
          <w:szCs w:val="20"/>
          <w:vertAlign w:val="superscript"/>
          <w:lang w:val="en-US"/>
        </w:rPr>
        <w:footnoteRef/>
      </w:r>
      <w:r>
        <w:rPr>
          <w:rFonts w:cs="Arial Unicode MS" w:eastAsia="Arial Unicode MS"/>
          <w:sz w:val="16"/>
          <w:szCs w:val="16"/>
          <w:rtl w:val="0"/>
          <w:lang w:val="en-US"/>
        </w:rPr>
        <w:t xml:space="preserve"> Tunis Agenda, Paragraph 72</w:t>
      </w:r>
    </w:p>
  </w:footnote>
  <w:footnote w:id="2">
    <w:p>
      <w:pPr>
        <w:pStyle w:val="Footnote Text"/>
      </w:pPr>
      <w:r>
        <w:rPr>
          <w:vertAlign w:val="superscript"/>
          <w:lang w:val="en-US"/>
        </w:rPr>
        <w:footnoteRef/>
      </w:r>
      <w:r>
        <w:rPr>
          <w:outline w:val="0"/>
          <w:color w:val="000000"/>
          <w:sz w:val="16"/>
          <w:szCs w:val="16"/>
          <w:u w:color="000000"/>
          <w:rtl w:val="0"/>
          <w:lang w:val="en-US"/>
          <w14:textFill>
            <w14:solidFill>
              <w14:srgbClr w14:val="000000"/>
            </w14:solidFill>
          </w14:textFill>
        </w:rPr>
        <w:t xml:space="preserve"> </w:t>
      </w:r>
      <w:r>
        <w:rPr>
          <w:outline w:val="0"/>
          <w:color w:val="000000"/>
          <w:sz w:val="16"/>
          <w:szCs w:val="16"/>
          <w:u w:color="000000"/>
          <w:rtl w:val="0"/>
          <w:lang w:val="en-US"/>
          <w14:textFill>
            <w14:solidFill>
              <w14:srgbClr w14:val="000000"/>
            </w14:solidFill>
          </w14:textFill>
        </w:rPr>
        <w:t>(Report on the world Summit on the Information Society Stocktaking (a publication of the International Telecommunications Union for the WSIS in May, 2008).</w:t>
      </w:r>
      <w:r>
        <w:rPr>
          <w:outline w:val="0"/>
          <w:color w:val="000000"/>
          <w:sz w:val="16"/>
          <w:szCs w:val="16"/>
          <w:u w:color="000000"/>
          <w14:textFill>
            <w14:solidFill>
              <w14:srgbClr w14:val="000000"/>
            </w14:solidFill>
          </w14:textFill>
        </w:rPr>
      </w:r>
    </w:p>
  </w:footnote>
  <w:footnote w:id="3">
    <w:p>
      <w:pPr>
        <w:pStyle w:val="Footnote Text"/>
      </w:pPr>
      <w:r>
        <w:rPr>
          <w:vertAlign w:val="superscript"/>
          <w:lang w:val="en-US"/>
        </w:rPr>
        <w:footnoteRef/>
      </w:r>
      <w:r>
        <w:rPr>
          <w:rFonts w:cs="Arial Unicode MS" w:eastAsia="Arial Unicode MS"/>
          <w:outline w:val="0"/>
          <w:color w:val="000000"/>
          <w:sz w:val="16"/>
          <w:szCs w:val="16"/>
          <w:u w:color="000000"/>
          <w:rtl w:val="0"/>
          <w:lang w:val="en-US"/>
          <w14:textFill>
            <w14:solidFill>
              <w14:srgbClr w14:val="000000"/>
            </w14:solidFill>
          </w14:textFill>
        </w:rPr>
        <w:t xml:space="preserve"> Ibid.</w:t>
      </w:r>
    </w:p>
  </w:footnote>
  <w:footnote w:id="4">
    <w:p>
      <w:pPr>
        <w:pStyle w:val="Footnote Text"/>
      </w:pPr>
      <w:r>
        <w:rPr>
          <w:rStyle w:val="Footnote Reference"/>
        </w:rPr>
        <w:footnoteRef/>
      </w:r>
      <w:r>
        <w:rPr>
          <w:rFonts w:cs="Arial Unicode MS" w:eastAsia="Arial Unicode MS"/>
          <w:outline w:val="0"/>
          <w:color w:val="000000"/>
          <w:sz w:val="16"/>
          <w:szCs w:val="16"/>
          <w:u w:color="000000"/>
          <w:rtl w:val="0"/>
          <w:lang w:val="en-US"/>
          <w14:textFill>
            <w14:solidFill>
              <w14:srgbClr w14:val="000000"/>
            </w14:solidFill>
          </w14:textFill>
        </w:rPr>
        <w:t xml:space="preserve"> Tunis Agenda, Paragraphs 3 </w:t>
      </w:r>
      <w:r>
        <w:rPr>
          <w:rFonts w:cs="Arial Unicode MS" w:eastAsia="Arial Unicode MS" w:hint="default"/>
          <w:outline w:val="0"/>
          <w:color w:val="000000"/>
          <w:sz w:val="16"/>
          <w:szCs w:val="16"/>
          <w:u w:color="000000"/>
          <w:rtl w:val="0"/>
          <w:lang w:val="en-US"/>
          <w14:textFill>
            <w14:solidFill>
              <w14:srgbClr w14:val="000000"/>
            </w14:solidFill>
          </w14:textFill>
        </w:rPr>
        <w:t xml:space="preserve">– </w:t>
      </w:r>
      <w:r>
        <w:rPr>
          <w:rFonts w:cs="Arial Unicode MS" w:eastAsia="Arial Unicode MS"/>
          <w:outline w:val="0"/>
          <w:color w:val="000000"/>
          <w:sz w:val="16"/>
          <w:szCs w:val="16"/>
          <w:u w:color="000000"/>
          <w:rtl w:val="0"/>
          <w:lang w:val="en-US"/>
          <w14:textFill>
            <w14:solidFill>
              <w14:srgbClr w14:val="000000"/>
            </w14:solidFill>
          </w14:textFill>
        </w:rPr>
        <w:t>28</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Footnote Reference">
    <w:name w:val="Footnote Reference"/>
    <w:rPr>
      <w:vertAlign w:val="superscript"/>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